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IX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>
        <w:trPr>
          <w:trHeight w:val="800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1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  <w:tr>
        <w:tblPrEx/>
        <w:trPr>
          <w:trHeight w:val="1002" w:hRule="atLeast"/>
        </w:trPr>
        <w:tc>
          <w:tcPr>
            <w:tcW w:w="1838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Module – Page 194,195 – Q1 to Q8</w:t>
            </w:r>
          </w:p>
        </w:tc>
      </w:tr>
      <w:tr>
        <w:tblPrEx/>
        <w:trPr>
          <w:trHeight w:val="1118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157" w:type="dxa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  <w:r>
              <w:rPr>
                <w:rFonts w:cs="Mangal"/>
                <w:sz w:val="26"/>
                <w:lang w:val="en-US"/>
              </w:rPr>
              <w:t>'</w:t>
            </w:r>
            <w:r>
              <w:rPr>
                <w:rFonts w:cs="Mangal"/>
                <w:sz w:val="26"/>
                <w:cs/>
                <w:lang w:val="en-US"/>
              </w:rPr>
              <w:t>गणेशोत्सव</w:t>
            </w:r>
            <w:r>
              <w:rPr>
                <w:rFonts w:cs="Mangal"/>
                <w:sz w:val="26"/>
                <w:lang w:val="en-US"/>
              </w:rPr>
              <w:t xml:space="preserve">' </w:t>
            </w:r>
            <w:r>
              <w:rPr>
                <w:rFonts w:cs="Mangal"/>
                <w:sz w:val="26"/>
                <w:cs/>
                <w:lang w:val="en-US"/>
              </w:rPr>
              <w:t>या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विषयावर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२०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ते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२५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ओळी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निबंध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लिहा</w:t>
            </w:r>
            <w:r>
              <w:rPr>
                <w:rFonts w:cs="Mangal"/>
                <w:sz w:val="26"/>
                <w:lang w:val="en-US"/>
              </w:rPr>
              <w:t>.</w:t>
            </w:r>
          </w:p>
        </w:tc>
      </w:tr>
      <w:tr>
        <w:tblPrEx/>
        <w:trPr>
          <w:trHeight w:val="992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>
        <w:rPr>
          <w:b/>
          <w:bCs/>
          <w:sz w:val="28"/>
          <w:szCs w:val="32"/>
        </w:rPr>
        <w:t>DAY: -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SATUR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</w:t>
      </w:r>
      <w:r>
        <w:rPr>
          <w:b/>
          <w:bCs/>
          <w:sz w:val="28"/>
          <w:szCs w:val="32"/>
        </w:rPr>
        <w:t>DATE: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2</w:t>
      </w:r>
      <w:r>
        <w:rPr>
          <w:b/>
          <w:bCs/>
          <w:sz w:val="28"/>
          <w:szCs w:val="32"/>
        </w:rPr>
        <w:t>9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-0</w:t>
      </w:r>
      <w:r>
        <w:rPr>
          <w:b/>
          <w:bCs/>
          <w:sz w:val="28"/>
          <w:szCs w:val="32"/>
        </w:rPr>
        <w:t>8</w:t>
      </w:r>
      <w:r>
        <w:rPr>
          <w:b/>
          <w:bCs/>
          <w:sz w:val="28"/>
          <w:szCs w:val="32"/>
        </w:rPr>
        <w:t>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widowControl/>
      <w:autoSpaceDE/>
      <w:autoSpaceDN/>
      <w:spacing w:before="80" w:after="40" w:lineRule="auto" w:line="259"/>
      <w:outlineLvl w:val="3"/>
    </w:pPr>
    <w:rPr>
      <w:rFonts w:ascii="Calibri" w:cs="Times New Roman" w:eastAsia="宋体" w:hAnsi="Calibri"/>
      <w:i/>
      <w:iCs/>
      <w:color w:val="365f91"/>
      <w:kern w:val="2"/>
      <w:lang w:val="en-I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4 Char_d1b89365-3d43-4243-90d7-da852af6b0d9"/>
    <w:basedOn w:val="style65"/>
    <w:next w:val="style4098"/>
    <w:link w:val="style4"/>
    <w:uiPriority w:val="9"/>
    <w:rPr>
      <w:rFonts w:cs="Times New Roman" w:eastAsia="宋体"/>
      <w:i/>
      <w:iCs/>
      <w:color w:val="365f91"/>
      <w:kern w:val="2"/>
      <w:lang w:val="en-IN"/>
      <w14:ligatures xmlns:w14="http://schemas.microsoft.com/office/word/2010/wordml" w14:val="standardContextu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Words>30</Words>
  <Pages>2</Pages>
  <Characters>135</Characters>
  <Application>WPS Office</Application>
  <DocSecurity>0</DocSecurity>
  <Paragraphs>37</Paragraphs>
  <ScaleCrop>false</ScaleCrop>
  <LinksUpToDate>false</LinksUpToDate>
  <CharactersWithSpaces>253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2025-08-30T05:46:37Z</dcterms:modified>
  <revision>176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7068096c3a9f4c5097f4d33d8ffa5abc</vt:lpwstr>
  </property>
</Properties>
</file>